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Bachelor of Education (Special Education) – Intellectual Disability / Visual Impairment</w:t>
      </w:r>
    </w:p>
    <w:p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IINCLUSIVE EDUCATION</w:t>
      </w:r>
    </w:p>
    <w:p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Semester-I</w:t>
      </w:r>
    </w:p>
    <w:p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                        Course Code: B 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tabs>
          <w:tab w:val="left" w:pos="7896"/>
        </w:tabs>
        <w:spacing w:before="134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Contact Week: 8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Maximum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Marks: 50 (External -35 &amp; Internal 15)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Introduction of Course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30" w:after="0" w:line="317" w:lineRule="exact"/>
        <w:ind w:right="24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The course is designed to develop an understanding about inclusive education and addressing 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diversity in the mainstream classroom. It is also formulated in a way that the learners will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know the pedagogical practices and recognises ways in which different stakeholders can </w:t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collaborate for the success of inclusive education.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Learning Outcomes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After completing the course the student-teachers will be able to</w:t>
      </w:r>
    </w:p>
    <w:p>
      <w:pPr>
        <w:pStyle w:val="14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6"/>
          <w:sz w:val="24"/>
          <w:szCs w:val="24"/>
        </w:rPr>
        <w:t>Explain the construct of inclusive education &amp; the progression from segregation</w:t>
      </w:r>
      <w:r>
        <w:rPr>
          <w:rFonts w:ascii="Times New Roman" w:hAnsi="Times New Roman" w:eastAsia="Times New Roman" w:cs="Times New Roman"/>
          <w:i/>
          <w:iCs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towards valuing &amp; appreciating diversity in inclusive education.</w:t>
      </w:r>
    </w:p>
    <w:p>
      <w:pPr>
        <w:pStyle w:val="14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t>Explicate the national &amp;  key international policies  &amp; frameworks facilitating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4"/>
          <w:szCs w:val="24"/>
        </w:rPr>
        <w:t>inclusive education.</w:t>
      </w:r>
    </w:p>
    <w:p>
      <w:pPr>
        <w:pStyle w:val="14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>Enumerate the skills in adapting instructional strategies for teaching in mainstream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sz w:val="24"/>
          <w:szCs w:val="24"/>
        </w:rPr>
        <w:t>classrooms.</w:t>
      </w:r>
    </w:p>
    <w:p>
      <w:pPr>
        <w:pStyle w:val="14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Describe the inclusive pedagogical practices &amp; its relation to good teaching.</w:t>
      </w:r>
    </w:p>
    <w:p>
      <w:pPr>
        <w:pStyle w:val="14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>Expound   strategies  for   collaborative   working   and   stakeholders   support   in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>implementing inclusive education.</w:t>
      </w:r>
    </w:p>
    <w:p>
      <w:pPr>
        <w:widowControl w:val="0"/>
        <w:shd w:val="clear" w:color="auto" w:fill="FFFFFF"/>
        <w:tabs>
          <w:tab w:val="left" w:pos="8045"/>
        </w:tabs>
        <w:autoSpaceDE w:val="0"/>
        <w:autoSpaceDN w:val="0"/>
        <w:adjustRightInd w:val="0"/>
        <w:spacing w:before="274" w:after="0" w:line="240" w:lineRule="auto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Unit 1: Introduction to Inclusive Education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 xml:space="preserve"> 7 Hours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  <w:t>)</w:t>
      </w:r>
    </w:p>
    <w:p>
      <w:pPr>
        <w:pStyle w:val="14"/>
        <w:widowControl w:val="0"/>
        <w:numPr>
          <w:ilvl w:val="1"/>
          <w:numId w:val="2"/>
        </w:numPr>
        <w:shd w:val="clear" w:color="auto" w:fill="FFFFFF"/>
        <w:tabs>
          <w:tab w:val="left" w:pos="715"/>
          <w:tab w:val="left" w:pos="840"/>
        </w:tabs>
        <w:autoSpaceDE w:val="0"/>
        <w:autoSpaceDN w:val="0"/>
        <w:adjustRightInd w:val="0"/>
        <w:spacing w:before="120" w:after="0" w:line="317" w:lineRule="exact"/>
        <w:ind w:left="720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Historical Perspectives education of CWSN &amp; various models </w:t>
      </w:r>
    </w:p>
    <w:p>
      <w:pPr>
        <w:pStyle w:val="14"/>
        <w:widowControl w:val="0"/>
        <w:numPr>
          <w:ilvl w:val="1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0"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Marginalisation vs. Inclusion: Meaning &amp; Definitions</w:t>
      </w:r>
    </w:p>
    <w:p>
      <w:pPr>
        <w:pStyle w:val="14"/>
        <w:widowControl w:val="0"/>
        <w:numPr>
          <w:ilvl w:val="1"/>
          <w:numId w:val="2"/>
        </w:numPr>
        <w:shd w:val="clear" w:color="auto" w:fill="FFFFFF"/>
        <w:tabs>
          <w:tab w:val="left" w:pos="715"/>
          <w:tab w:val="left" w:pos="840"/>
        </w:tabs>
        <w:autoSpaceDE w:val="0"/>
        <w:autoSpaceDN w:val="0"/>
        <w:adjustRightInd w:val="0"/>
        <w:spacing w:before="120" w:after="0" w:line="317" w:lineRule="exact"/>
        <w:ind w:left="720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Changing Practices in Education   of Children with Disabilities:   Segregation,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Integration &amp; Inclusion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4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8"/>
          <w:sz w:val="24"/>
          <w:szCs w:val="24"/>
        </w:rPr>
        <w:t>1.4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Diversity in Classrooms: Learning Styles, Linguistic &amp; Socio-Cultural Multiplicity</w:t>
      </w:r>
    </w:p>
    <w:p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17" w:lineRule="exact"/>
        <w:ind w:left="715" w:hanging="331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  <w:t>1.5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color w:val="000000"/>
          <w:spacing w:val="8"/>
          <w:sz w:val="24"/>
          <w:szCs w:val="24"/>
        </w:rPr>
        <w:t>Principles of Inclusive Education:  Access, Equity, Relevance, Participation &amp;</w:t>
      </w:r>
      <w:r>
        <w:rPr>
          <w:rFonts w:ascii="Times New Roman" w:hAnsi="Times New Roman" w:cs="Times New Roman" w:eastAsiaTheme="minorEastAsia"/>
          <w:color w:val="000000"/>
          <w:spacing w:val="8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Empowerment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4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6"/>
          <w:sz w:val="24"/>
          <w:szCs w:val="24"/>
        </w:rPr>
        <w:t>1.6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Barriers to Inclusive Education: Attitudinal, Physical &amp; Instructional</w:t>
      </w:r>
    </w:p>
    <w:p>
      <w:pPr>
        <w:widowControl w:val="0"/>
        <w:shd w:val="clear" w:color="auto" w:fill="FFFFFF"/>
        <w:tabs>
          <w:tab w:val="left" w:pos="8165"/>
        </w:tabs>
        <w:autoSpaceDE w:val="0"/>
        <w:autoSpaceDN w:val="0"/>
        <w:adjustRightInd w:val="0"/>
        <w:spacing w:before="269" w:after="0" w:line="240" w:lineRule="auto"/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Unit 2: International and National Intiative Facilitating Inclusive Education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9  Hours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  <w:t>)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5" w:after="0" w:line="317" w:lineRule="exact"/>
        <w:jc w:val="both"/>
        <w:rPr>
          <w:rFonts w:ascii="Times New Roman" w:hAnsi="Times New Roman" w:cs="Times New Roman" w:eastAsiaTheme="minorEastAsia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spacing w:val="4"/>
          <w:sz w:val="24"/>
          <w:szCs w:val="24"/>
        </w:rPr>
        <w:t>International Declarations: Universal Declaration of Human Rights (1948), World</w:t>
      </w:r>
      <w:r>
        <w:rPr>
          <w:rFonts w:ascii="Times New Roman" w:hAnsi="Times New Roman" w:cs="Times New Roman" w:eastAsiaTheme="minorEastAsia"/>
          <w:spacing w:val="4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Declaration for Education for All (1990)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spacing w:val="-5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International Conventions &amp; Framework: Convention against Discrimination (1960), Convention on </w:t>
      </w:r>
      <w:r>
        <w:rPr>
          <w:rFonts w:ascii="Times New Roman" w:hAnsi="Times New Roman" w:cs="Times New Roman" w:eastAsiaTheme="minorEastAsia"/>
          <w:spacing w:val="8"/>
          <w:sz w:val="24"/>
          <w:szCs w:val="24"/>
        </w:rPr>
        <w:t xml:space="preserve">Rights of a Child (1989), United Nations Convention of Rights of Persons with </w:t>
      </w:r>
      <w:r>
        <w:rPr>
          <w:rFonts w:ascii="Times New Roman" w:hAnsi="Times New Roman" w:cs="Times New Roman" w:eastAsiaTheme="minorEastAsia"/>
          <w:sz w:val="24"/>
          <w:szCs w:val="24"/>
        </w:rPr>
        <w:t>Disabilities (UNCRPD) (2006) &amp;</w:t>
      </w:r>
      <w:r>
        <w:rPr>
          <w:rFonts w:ascii="Times New Roman" w:hAnsi="Times New Roman" w:cs="Times New Roman" w:eastAsiaTheme="minorEastAsia"/>
          <w:spacing w:val="1"/>
          <w:sz w:val="24"/>
          <w:szCs w:val="24"/>
        </w:rPr>
        <w:t xml:space="preserve">   Salamanca Framework (1994)   </w:t>
      </w:r>
    </w:p>
    <w:p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317" w:lineRule="exact"/>
        <w:ind w:left="715" w:hanging="355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8165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 w:eastAsiaTheme="minorEastAsia"/>
          <w:b/>
          <w:sz w:val="20"/>
        </w:rPr>
      </w:pPr>
    </w:p>
    <w:p>
      <w:pPr>
        <w:widowControl w:val="0"/>
        <w:shd w:val="clear" w:color="auto" w:fill="FFFFFF"/>
        <w:tabs>
          <w:tab w:val="left" w:pos="8165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 w:eastAsiaTheme="minorEastAsia"/>
          <w:b/>
          <w:sz w:val="20"/>
        </w:rPr>
      </w:pP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5"/>
          <w:sz w:val="24"/>
          <w:szCs w:val="24"/>
        </w:rPr>
        <w:t xml:space="preserve">2.3 Commission &amp; Policies- 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Kothari Commission (1964), National Education </w:t>
      </w:r>
      <w:r>
        <w:rPr>
          <w:rFonts w:ascii="Times New Roman" w:hAnsi="Times New Roman" w:cs="Times New Roman" w:eastAsiaTheme="minorEastAsia"/>
          <w:color w:val="000000"/>
          <w:spacing w:val="7"/>
          <w:sz w:val="24"/>
          <w:szCs w:val="24"/>
        </w:rPr>
        <w:t xml:space="preserve">Policy (1968), National Policy on Education (1986), National Policy on Education (2020), </w:t>
      </w:r>
      <w:r>
        <w:rPr>
          <w:rFonts w:ascii="Times New Roman" w:hAnsi="Times New Roman" w:cs="Times New Roman" w:eastAsiaTheme="minorEastAsia"/>
          <w:color w:val="000000"/>
          <w:spacing w:val="3"/>
          <w:sz w:val="24"/>
          <w:szCs w:val="24"/>
        </w:rPr>
        <w:t>National Curricular Framework (2005), National Curricular Framework for School Education (2023)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2.4 National Acts &amp; Programs: RCI Act (1992), PWD Act (1995), National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Trust Act (1999), RPwD 2016, SDG-2030, Samagra Shiksha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2.5 National Institutes for the Empowerment of Disabilities </w:t>
      </w:r>
    </w:p>
    <w:p>
      <w:pPr>
        <w:widowControl w:val="0"/>
        <w:shd w:val="clear" w:color="auto" w:fill="FFFFFF"/>
        <w:tabs>
          <w:tab w:val="left" w:pos="8102"/>
        </w:tabs>
        <w:autoSpaceDE w:val="0"/>
        <w:autoSpaceDN w:val="0"/>
        <w:adjustRightInd w:val="0"/>
        <w:spacing w:before="283" w:after="0" w:line="240" w:lineRule="auto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 xml:space="preserve">Unit 3: Inclusive Instrucions &amp; Practices 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8 Hours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  <w:t>)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Adaptations Accommodations and Modifications-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Meaning, Difference &amp; Need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Universal Design for Learning: Multiple Means of Access, Expression, Engagement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&amp; Assessment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Co-Teaching Methods: One Teach One Assist, Station-Teaching, Parallel Teaching,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Alternate Teaching &amp; Team Teaching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Differentiated Instructions: Content, Process &amp; Product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Peer Mediated Instructions:  Class Wide Peer Tutoring, Peer Assisted Learning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Strategies</w:t>
      </w:r>
    </w:p>
    <w:p>
      <w:pPr>
        <w:pStyle w:val="14"/>
        <w:widowControl w:val="0"/>
        <w:numPr>
          <w:ilvl w:val="1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Gifted Children: Cooperative Teaching Models</w:t>
      </w:r>
    </w:p>
    <w:p>
      <w:pPr>
        <w:widowControl w:val="0"/>
        <w:shd w:val="clear" w:color="auto" w:fill="FFFFFF"/>
        <w:tabs>
          <w:tab w:val="left" w:pos="8045"/>
        </w:tabs>
        <w:autoSpaceDE w:val="0"/>
        <w:autoSpaceDN w:val="0"/>
        <w:adjustRightInd w:val="0"/>
        <w:spacing w:before="269" w:after="0" w:line="240" w:lineRule="auto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Unit 4: Supports and Collaborations for Inclusive Education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6 Hours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  <w:t>)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30" w:after="0" w:line="312" w:lineRule="exact"/>
        <w:rPr>
          <w:rFonts w:ascii="Times New Roman" w:hAnsi="Times New Roman" w:cs="Times New Roman" w:eastAsiaTheme="minorEastAsia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Stakeholders of Inclusive Education &amp; Their Responsibilities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 w:eastAsiaTheme="minorEastAsia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Advocacy &amp; Leadership for Inclusion in Education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 w:eastAsiaTheme="minorEastAsia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Family Support &amp; Community Involvement for Inclusion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 w:eastAsiaTheme="minorEastAsia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ICT for Instructions in inclusive classroom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Resource Mobilisation for Inclusive Education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Practical &amp; Field Engagement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0" w:after="0" w:line="317" w:lineRule="exact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11"/>
          <w:sz w:val="24"/>
          <w:szCs w:val="24"/>
        </w:rPr>
        <w:t>Visit Special  Schools of any two Disabilities &amp;  an Inclusive school &amp; write</w:t>
      </w:r>
      <w:r>
        <w:rPr>
          <w:rFonts w:ascii="Times New Roman" w:hAnsi="Times New Roman" w:cs="Times New Roman" w:eastAsiaTheme="minorEastAsia"/>
          <w:color w:val="000000"/>
          <w:spacing w:val="11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observation report highlighting pedagogy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t>Prepare a Checklist for Accessibility in Mainstream Schools for Children with</w:t>
      </w: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Disabilities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 w:eastAsiaTheme="minorEastAsia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Design a Poster on Inclusive Education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t>Prepare a Lesson Plan on any one School subject of your choice using any one</w:t>
      </w: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Inclusive Academic Instructional Strategy</w:t>
      </w:r>
    </w:p>
    <w:p>
      <w:pPr>
        <w:widowControl w:val="0"/>
        <w:numPr>
          <w:numId w:val="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Transactions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5" w:after="0" w:line="322" w:lineRule="exact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Group discussions following videos and visits. Debate for Inclusion vs. Segregation &amp; </w:t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Self study for legislations and frameworks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65"/>
        <w:rPr>
          <w:rFonts w:ascii="Times New Roman" w:hAnsi="Times New Roman" w:cs="Times New Roman" w:eastAsiaTheme="minorEastAsia"/>
          <w:sz w:val="20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Bartlett, L. D., &amp; Weisentein, G. R. (2003). </w:t>
      </w:r>
      <w:r>
        <w:rPr>
          <w:rFonts w:ascii="Times New Roman" w:hAnsi="Times New Roman" w:eastAsia="Times New Roman" w:cs="Times New Roman"/>
          <w:i/>
          <w:iCs/>
          <w:color w:val="000000"/>
          <w:spacing w:val="6"/>
          <w:sz w:val="24"/>
          <w:szCs w:val="24"/>
        </w:rPr>
        <w:t>Successful Inclusion for Educational</w:t>
      </w:r>
      <w:r>
        <w:rPr>
          <w:rFonts w:ascii="Times New Roman" w:hAnsi="Times New Roman" w:eastAsia="Times New Roman" w:cs="Times New Roman"/>
          <w:i/>
          <w:iCs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Leaders.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New Jersey: Prentice Hall.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94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Chaote, J. S. (1991).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Successful Mainstreaming.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Allyn and Bacon.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94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Choate, J. S. (1997).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Successful Inclusive Teaching.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Allyn and Bacon.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94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Daniels, H. (1999) 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Inclusive Education.London: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Kogan.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8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Deiner, P. L. (1993).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Resource for Teaching Children with Diverse Abilities,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Florida: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Harcourt Brace and Company.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Dessent, T. (1987).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Making Ordinary School Special.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Jessica Kingsley Pub.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7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Gargiulo, R.M. 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t>Special Education in Contemporary Society: An Introduction to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Exceptionality.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Belmont: Wadsworth.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Gartner, A., &amp; Lipsky, D.D. (1997). </w:t>
      </w:r>
      <w:r>
        <w:rPr>
          <w:rFonts w:ascii="Times New Roman" w:hAnsi="Times New Roman" w:eastAsia="Times New Roman" w:cs="Times New Roman"/>
          <w:i/>
          <w:iCs/>
          <w:color w:val="000000"/>
          <w:spacing w:val="8"/>
          <w:sz w:val="24"/>
          <w:szCs w:val="24"/>
        </w:rPr>
        <w:t>Inclusion and School Reform Transferring</w:t>
      </w:r>
      <w:r>
        <w:rPr>
          <w:rFonts w:ascii="Times New Roman" w:hAnsi="Times New Roman" w:eastAsia="Times New Roman" w:cs="Times New Roman"/>
          <w:i/>
          <w:iCs/>
          <w:color w:val="000000"/>
          <w:spacing w:val="8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America's Classrooms,Baltimore: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P. H. Brookes Publishers.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67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Giuliani, G.A. &amp; Pierangelo, R. (2007).  </w:t>
      </w:r>
      <w:r>
        <w:rPr>
          <w:rFonts w:ascii="Times New Roman" w:hAnsi="Times New Roman" w:eastAsia="Times New Roman" w:cs="Times New Roman"/>
          <w:i/>
          <w:iCs/>
          <w:color w:val="000000"/>
          <w:spacing w:val="5"/>
          <w:sz w:val="24"/>
          <w:szCs w:val="24"/>
        </w:rPr>
        <w:t>Understanding, Developing and Writing</w:t>
      </w:r>
      <w:r>
        <w:rPr>
          <w:rFonts w:ascii="Times New Roman" w:hAnsi="Times New Roman" w:eastAsia="Times New Roman" w:cs="Times New Roman"/>
          <w:i/>
          <w:iCs/>
          <w:color w:val="000000"/>
          <w:spacing w:val="5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4"/>
          <w:szCs w:val="24"/>
        </w:rPr>
        <w:t xml:space="preserve">IEPs.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Corwin press: Sage Publishers.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8" w:after="0" w:line="326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Gore, M.C. (2004) 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Successful Inclusion Strategies for Secondary and Middle School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 xml:space="preserve">Teachers,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Crowin Press, Sage Publications.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62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Hegarthy, S. &amp; Alur, M. (2002). </w:t>
      </w:r>
      <w:r>
        <w:rPr>
          <w:rFonts w:ascii="Times New Roman" w:hAnsi="Times New Roman" w:eastAsia="Times New Roman" w:cs="Times New Roman"/>
          <w:i/>
          <w:iCs/>
          <w:color w:val="000000"/>
          <w:spacing w:val="5"/>
          <w:sz w:val="24"/>
          <w:szCs w:val="24"/>
        </w:rPr>
        <w:t>Education of Children with Special Needs: from</w:t>
      </w:r>
      <w:r>
        <w:rPr>
          <w:rFonts w:ascii="Times New Roman" w:hAnsi="Times New Roman" w:eastAsia="Times New Roman" w:cs="Times New Roman"/>
          <w:i/>
          <w:iCs/>
          <w:color w:val="000000"/>
          <w:spacing w:val="5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Segregation to Inclusion,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Corwin Press, Sage Publishers.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6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Karant, P., &amp; Rozario, J. ((2003).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Learning Disabilities in India.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 Publications.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67" w:after="0" w:line="326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Karten, T. J.  (2007). 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t xml:space="preserve">More Inclusion Strategies that Work.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Corwin Press,  Sage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Publications.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62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King-Sears,   M.   (1994).  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>Curriculum-Based Assessment   in   Special  Edcuation.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California: Singular Publications.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8" w:after="0" w:line="326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Lewis, R. B., &amp; Doorlag, D. (1995). 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>Teaching Special Students in the Mainstream.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4th Ed. New Jersey: Pearson.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McCormick, S. (1999). Instructing Students who Have Literacy Problems. 3rd Ed.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New Jersey, Pearson.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Rayner, S. (2007).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Managing Special and Inclusive Education,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 Publications.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7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Ryandak, D. L. &amp; Alper, S. (1996).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t>Curriculum Content for Students with Moderate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and Severe Disabilities in Inclusive Setting.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Boston, Allyn and Bacon.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Sedlak, R. A., &amp; Schloss, P. C. (1986). 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t>Instructional Methods for Students with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Learning and Behaviour Problems.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Allyn and Bacon.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Stow L. &amp; Selfe, L. (1989). </w:t>
      </w:r>
      <w:r>
        <w:rPr>
          <w:rFonts w:ascii="Times New Roman" w:hAnsi="Times New Roman" w:eastAsia="Times New Roman" w:cs="Times New Roman"/>
          <w:i/>
          <w:iCs/>
          <w:color w:val="000000"/>
          <w:spacing w:val="4"/>
          <w:sz w:val="24"/>
          <w:szCs w:val="24"/>
        </w:rPr>
        <w:t xml:space="preserve">Understanding Children with Special Needs.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London: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Unwin Hyman.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8" w:after="0" w:line="331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Turnbull, A., Turnbull, R., Turnbull, M., &amp; Shank, D.L. (1995). 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>Exceptional Lives: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Special Education in Today's Schools.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2nd Ed. New Jersey: Prentice-Hall.Inc.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8" w:after="0" w:line="331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Vlachou D. A. (1997). 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 xml:space="preserve">Struggles for Inclusive Education: An Ethnographic Sstudy.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Philadelphia: Open University Press.</w:t>
      </w:r>
    </w:p>
    <w:p>
      <w:pPr>
        <w:shd w:val="clear" w:color="auto" w:fill="FFFFFF"/>
        <w:spacing w:line="418" w:lineRule="exact"/>
        <w:jc w:val="both"/>
        <w:rPr>
          <w:b/>
          <w:bCs/>
          <w:color w:val="000000"/>
          <w:spacing w:val="-18"/>
          <w:sz w:val="50"/>
          <w:szCs w:val="5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96" w:bottom="720" w:left="16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87B1334"/>
    <w:multiLevelType w:val="singleLevel"/>
    <w:tmpl w:val="087B1334"/>
    <w:lvl w:ilvl="0" w:tentative="0">
      <w:start w:val="1"/>
      <w:numFmt w:val="upperRoman"/>
      <w:lvlText w:val="%1."/>
      <w:legacy w:legacy="1" w:legacySpace="0" w:legacyIndent="355"/>
      <w:lvlJc w:val="left"/>
      <w:rPr>
        <w:rFonts w:hint="default" w:ascii="Times New Roman" w:hAnsi="Times New Roman" w:cs="Times New Roman"/>
      </w:rPr>
    </w:lvl>
  </w:abstractNum>
  <w:abstractNum w:abstractNumId="2">
    <w:nsid w:val="1FE42916"/>
    <w:multiLevelType w:val="multilevel"/>
    <w:tmpl w:val="1FE42916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E50341"/>
    <w:multiLevelType w:val="multilevel"/>
    <w:tmpl w:val="29E50341"/>
    <w:lvl w:ilvl="0" w:tentative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5AD8"/>
    <w:multiLevelType w:val="multilevel"/>
    <w:tmpl w:val="42685AD8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56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384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5">
    <w:nsid w:val="50AB0479"/>
    <w:multiLevelType w:val="singleLevel"/>
    <w:tmpl w:val="50AB0479"/>
    <w:lvl w:ilvl="0" w:tentative="0">
      <w:start w:val="1"/>
      <w:numFmt w:val="decimal"/>
      <w:lvlText w:val="2.%1"/>
      <w:legacy w:legacy="1" w:legacySpace="0" w:legacyIndent="355"/>
      <w:lvlJc w:val="left"/>
      <w:rPr>
        <w:rFonts w:hint="default" w:ascii="Times New Roman" w:hAnsi="Times New Roman" w:cs="Times New Roman"/>
      </w:rPr>
    </w:lvl>
  </w:abstractNum>
  <w:abstractNum w:abstractNumId="6">
    <w:nsid w:val="73FB2930"/>
    <w:multiLevelType w:val="singleLevel"/>
    <w:tmpl w:val="73FB2930"/>
    <w:lvl w:ilvl="0" w:tentative="0">
      <w:start w:val="1"/>
      <w:numFmt w:val="decimal"/>
      <w:lvlText w:val="5.%1"/>
      <w:legacy w:legacy="1" w:legacySpace="0" w:legacyIndent="345"/>
      <w:lvlJc w:val="left"/>
      <w:rPr>
        <w:rFonts w:hint="default"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36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0"/>
    <w:rsid w:val="000A2022"/>
    <w:rsid w:val="000A2481"/>
    <w:rsid w:val="0010227E"/>
    <w:rsid w:val="00161F58"/>
    <w:rsid w:val="001B359C"/>
    <w:rsid w:val="001F73F2"/>
    <w:rsid w:val="00207310"/>
    <w:rsid w:val="00212DD7"/>
    <w:rsid w:val="00213D03"/>
    <w:rsid w:val="00214719"/>
    <w:rsid w:val="002A0373"/>
    <w:rsid w:val="002C27B0"/>
    <w:rsid w:val="0030268C"/>
    <w:rsid w:val="00307B71"/>
    <w:rsid w:val="00324864"/>
    <w:rsid w:val="00337FE1"/>
    <w:rsid w:val="00343EE3"/>
    <w:rsid w:val="0034416A"/>
    <w:rsid w:val="00390472"/>
    <w:rsid w:val="003A2DC7"/>
    <w:rsid w:val="003C1270"/>
    <w:rsid w:val="003C2D44"/>
    <w:rsid w:val="00403C1F"/>
    <w:rsid w:val="00452F0E"/>
    <w:rsid w:val="0045512F"/>
    <w:rsid w:val="00462AA3"/>
    <w:rsid w:val="0046359D"/>
    <w:rsid w:val="004770B0"/>
    <w:rsid w:val="00507C6E"/>
    <w:rsid w:val="0056042B"/>
    <w:rsid w:val="0056275E"/>
    <w:rsid w:val="00573E9E"/>
    <w:rsid w:val="00583118"/>
    <w:rsid w:val="005C68CD"/>
    <w:rsid w:val="005F7242"/>
    <w:rsid w:val="00627FF0"/>
    <w:rsid w:val="0063174E"/>
    <w:rsid w:val="006571D7"/>
    <w:rsid w:val="006A436C"/>
    <w:rsid w:val="006B088F"/>
    <w:rsid w:val="006C716F"/>
    <w:rsid w:val="006E70FC"/>
    <w:rsid w:val="00713253"/>
    <w:rsid w:val="00721E5C"/>
    <w:rsid w:val="00745FDA"/>
    <w:rsid w:val="00771E86"/>
    <w:rsid w:val="007B4489"/>
    <w:rsid w:val="007C22F8"/>
    <w:rsid w:val="00823ED0"/>
    <w:rsid w:val="0085060F"/>
    <w:rsid w:val="00894879"/>
    <w:rsid w:val="008C3B41"/>
    <w:rsid w:val="008C3F9C"/>
    <w:rsid w:val="008F6CB5"/>
    <w:rsid w:val="00933CA7"/>
    <w:rsid w:val="0094064E"/>
    <w:rsid w:val="00966757"/>
    <w:rsid w:val="009D76D4"/>
    <w:rsid w:val="009E3207"/>
    <w:rsid w:val="009F0B9E"/>
    <w:rsid w:val="00A264B6"/>
    <w:rsid w:val="00A53ACE"/>
    <w:rsid w:val="00AB7073"/>
    <w:rsid w:val="00AD063E"/>
    <w:rsid w:val="00AD4D4A"/>
    <w:rsid w:val="00AF05A2"/>
    <w:rsid w:val="00B60367"/>
    <w:rsid w:val="00B91A21"/>
    <w:rsid w:val="00BA12CC"/>
    <w:rsid w:val="00BB527A"/>
    <w:rsid w:val="00BB6B88"/>
    <w:rsid w:val="00C80EE9"/>
    <w:rsid w:val="00CA2A68"/>
    <w:rsid w:val="00CC1093"/>
    <w:rsid w:val="00D06DFE"/>
    <w:rsid w:val="00D153AB"/>
    <w:rsid w:val="00D810D8"/>
    <w:rsid w:val="00DA38ED"/>
    <w:rsid w:val="00DB2547"/>
    <w:rsid w:val="00DB59C5"/>
    <w:rsid w:val="00DC3959"/>
    <w:rsid w:val="00DD2235"/>
    <w:rsid w:val="00E04451"/>
    <w:rsid w:val="00E257BF"/>
    <w:rsid w:val="00E35450"/>
    <w:rsid w:val="00E54407"/>
    <w:rsid w:val="00E62DF8"/>
    <w:rsid w:val="00E751A3"/>
    <w:rsid w:val="00EB5D23"/>
    <w:rsid w:val="00EC7A18"/>
    <w:rsid w:val="00ED538A"/>
    <w:rsid w:val="00EE1B1B"/>
    <w:rsid w:val="00EE68AE"/>
    <w:rsid w:val="00EF1A95"/>
    <w:rsid w:val="00F25E1F"/>
    <w:rsid w:val="00F30490"/>
    <w:rsid w:val="00F65352"/>
    <w:rsid w:val="00F823B9"/>
    <w:rsid w:val="00FA7F41"/>
    <w:rsid w:val="00FC7A5B"/>
    <w:rsid w:val="00FE379E"/>
    <w:rsid w:val="00FE68AB"/>
    <w:rsid w:val="00FF71F1"/>
    <w:rsid w:val="9FD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after="0" w:line="240" w:lineRule="auto"/>
      <w:outlineLvl w:val="0"/>
    </w:pPr>
    <w:rPr>
      <w:rFonts w:ascii="Times New Roman" w:hAnsi="Times New Roman" w:cs="Times New Roman" w:eastAsiaTheme="minorEastAsia"/>
      <w:b/>
      <w:sz w:val="20"/>
      <w:lang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Mangal" w:eastAsiaTheme="minorEastAsia"/>
      <w:sz w:val="16"/>
      <w:szCs w:val="14"/>
    </w:rPr>
  </w:style>
  <w:style w:type="character" w:styleId="6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6"/>
    <w:unhideWhenUsed/>
    <w:uiPriority w:val="9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Mangal" w:eastAsiaTheme="minorEastAsia"/>
      <w:sz w:val="20"/>
      <w:szCs w:val="18"/>
    </w:rPr>
  </w:style>
  <w:style w:type="paragraph" w:styleId="8">
    <w:name w:val="header"/>
    <w:basedOn w:val="1"/>
    <w:link w:val="15"/>
    <w:unhideWhenUsed/>
    <w:uiPriority w:val="9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Mangal" w:eastAsiaTheme="minorEastAsia"/>
      <w:sz w:val="20"/>
      <w:szCs w:val="18"/>
    </w:rPr>
  </w:style>
  <w:style w:type="character" w:styleId="9">
    <w:name w:val="Hyperlink"/>
    <w:basedOn w:val="3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3"/>
    <w:qFormat/>
    <w:uiPriority w:val="22"/>
    <w:rPr>
      <w:b/>
    </w:rPr>
  </w:style>
  <w:style w:type="table" w:styleId="11">
    <w:name w:val="Table Grid"/>
    <w:basedOn w:val="4"/>
    <w:uiPriority w:val="59"/>
    <w:pPr>
      <w:spacing w:after="0" w:line="240" w:lineRule="auto"/>
    </w:pPr>
    <w:rPr>
      <w:rFonts w:cs="Mang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3"/>
    <w:link w:val="2"/>
    <w:qFormat/>
    <w:uiPriority w:val="9"/>
    <w:rPr>
      <w:rFonts w:ascii="Times New Roman" w:hAnsi="Times New Roman" w:cs="Times New Roman" w:eastAsiaTheme="minorEastAsia"/>
      <w:b/>
      <w:sz w:val="20"/>
      <w:lang w:bidi="ar-SA"/>
    </w:rPr>
  </w:style>
  <w:style w:type="table" w:customStyle="1" w:styleId="13">
    <w:name w:val="Table Grid1"/>
    <w:basedOn w:val="4"/>
    <w:uiPriority w:val="59"/>
    <w:pPr>
      <w:spacing w:after="0" w:line="240" w:lineRule="auto"/>
    </w:pPr>
    <w:rPr>
      <w:rFonts w:cs="Mang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="Calibri" w:hAnsi="Calibri" w:cs="Mangal" w:eastAsiaTheme="minorEastAsia"/>
    </w:rPr>
  </w:style>
  <w:style w:type="character" w:customStyle="1" w:styleId="15">
    <w:name w:val="Header Char"/>
    <w:basedOn w:val="3"/>
    <w:link w:val="8"/>
    <w:uiPriority w:val="99"/>
    <w:rPr>
      <w:rFonts w:ascii="Times New Roman" w:hAnsi="Times New Roman" w:cs="Mangal" w:eastAsiaTheme="minorEastAsia"/>
      <w:sz w:val="20"/>
      <w:szCs w:val="18"/>
    </w:rPr>
  </w:style>
  <w:style w:type="character" w:customStyle="1" w:styleId="16">
    <w:name w:val="Footer Char"/>
    <w:basedOn w:val="3"/>
    <w:link w:val="7"/>
    <w:uiPriority w:val="99"/>
    <w:rPr>
      <w:rFonts w:ascii="Times New Roman" w:hAnsi="Times New Roman" w:cs="Mangal" w:eastAsiaTheme="minorEastAsia"/>
      <w:sz w:val="20"/>
      <w:szCs w:val="18"/>
    </w:rPr>
  </w:style>
  <w:style w:type="character" w:customStyle="1" w:styleId="17">
    <w:name w:val="Balloon Text Char"/>
    <w:basedOn w:val="3"/>
    <w:link w:val="5"/>
    <w:semiHidden/>
    <w:uiPriority w:val="99"/>
    <w:rPr>
      <w:rFonts w:ascii="Tahoma" w:hAnsi="Tahoma" w:cs="Mangal" w:eastAsiaTheme="minorEastAsia"/>
      <w:sz w:val="16"/>
      <w:szCs w:val="14"/>
    </w:rPr>
  </w:style>
  <w:style w:type="paragraph" w:styleId="18">
    <w:name w:val="No Spacing"/>
    <w:qFormat/>
    <w:uiPriority w:val="1"/>
    <w:pPr>
      <w:spacing w:after="0" w:line="240" w:lineRule="auto"/>
    </w:pPr>
    <w:rPr>
      <w:rFonts w:cs="Mangal" w:asciiTheme="minorHAnsi" w:hAnsiTheme="minorHAnsi" w:eastAsiaTheme="minorEastAsia"/>
      <w:sz w:val="24"/>
      <w:szCs w:val="24"/>
      <w:lang w:val="en-US" w:eastAsia="en-US" w:bidi="ar-SA"/>
    </w:rPr>
  </w:style>
  <w:style w:type="paragraph" w:customStyle="1" w:styleId="19">
    <w:name w:val="Default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after="0" w:line="240" w:lineRule="auto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customStyle="1" w:styleId="20">
    <w:name w:val="Heading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100" w:after="100" w:line="240" w:lineRule="auto"/>
      <w:outlineLvl w:val="0"/>
    </w:pPr>
    <w:rPr>
      <w:rFonts w:ascii="Times New Roman" w:hAnsi="Arial Unicode MS" w:eastAsia="Arial Unicode MS" w:cs="Arial Unicode MS"/>
      <w:b/>
      <w:bCs/>
      <w:color w:val="000000"/>
      <w:kern w:val="36"/>
      <w:sz w:val="48"/>
      <w:szCs w:val="48"/>
      <w:u w:color="000000"/>
      <w:lang w:val="en-US" w:eastAsia="en-US" w:bidi="ar-SA"/>
    </w:rPr>
  </w:style>
  <w:style w:type="paragraph" w:customStyle="1" w:styleId="21">
    <w:name w:val="Body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after="0" w:line="240" w:lineRule="auto"/>
    </w:pPr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22">
    <w:name w:val="Hyperlink.0"/>
    <w:qFormat/>
    <w:uiPriority w:val="0"/>
    <w:rPr>
      <w:color w:val="1154CB"/>
      <w:u w:val="single" w:color="1154CB"/>
    </w:rPr>
  </w:style>
  <w:style w:type="character" w:customStyle="1" w:styleId="23">
    <w:name w:val="Hyperlink.1"/>
    <w:uiPriority w:val="0"/>
    <w:rPr>
      <w:color w:val="1154CB"/>
      <w:u w:val="single" w:color="1154CB"/>
      <w:lang w:val="da-D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1003</Words>
  <Characters>5723</Characters>
  <Lines>47</Lines>
  <Paragraphs>13</Paragraphs>
  <TotalTime>313</TotalTime>
  <ScaleCrop>false</ScaleCrop>
  <LinksUpToDate>false</LinksUpToDate>
  <CharactersWithSpaces>6713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2015-07-22T10:54:00Z</dcterms:created>
  <dc:creator>DDCOffice</dc:creator>
  <cp:lastModifiedBy>dr.deepika</cp:lastModifiedBy>
  <cp:lastPrinted>2018-08-20T16:23:00Z</cp:lastPrinted>
  <dcterms:modified xsi:type="dcterms:W3CDTF">2024-05-17T12:46:38Z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